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3A1F61" w14:textId="77777777" w:rsidR="00F45715" w:rsidRDefault="001709B1" w:rsidP="001709B1">
      <w:pPr>
        <w:jc w:val="center"/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UE 4.4 : Chambre implantable et soins IDE (14/01)</w:t>
      </w:r>
    </w:p>
    <w:p w14:paraId="5BD27D9D" w14:textId="77777777" w:rsidR="009821EA" w:rsidRDefault="009821EA" w:rsidP="001709B1">
      <w:pPr>
        <w:jc w:val="center"/>
        <w:rPr>
          <w:b/>
          <w:color w:val="000000" w:themeColor="text1"/>
          <w:u w:val="single"/>
        </w:rPr>
      </w:pPr>
    </w:p>
    <w:p w14:paraId="3529E4C6" w14:textId="77777777" w:rsidR="009821EA" w:rsidRPr="009821EA" w:rsidRDefault="009821EA" w:rsidP="001709B1">
      <w:pPr>
        <w:jc w:val="center"/>
        <w:rPr>
          <w:b/>
          <w:color w:val="365F91" w:themeColor="accent1" w:themeShade="BF"/>
          <w:u w:val="single"/>
        </w:rPr>
      </w:pPr>
      <w:r w:rsidRPr="009821EA">
        <w:rPr>
          <w:b/>
          <w:color w:val="365F91" w:themeColor="accent1" w:themeShade="BF"/>
          <w:u w:val="single"/>
        </w:rPr>
        <w:t xml:space="preserve">Site </w:t>
      </w:r>
      <w:r>
        <w:rPr>
          <w:b/>
          <w:color w:val="365F91" w:themeColor="accent1" w:themeShade="BF"/>
          <w:u w:val="single"/>
        </w:rPr>
        <w:t>S</w:t>
      </w:r>
      <w:r w:rsidRPr="009821EA">
        <w:rPr>
          <w:b/>
          <w:color w:val="365F91" w:themeColor="accent1" w:themeShade="BF"/>
          <w:u w:val="single"/>
        </w:rPr>
        <w:t>FHH</w:t>
      </w:r>
    </w:p>
    <w:p w14:paraId="233A599F" w14:textId="77777777" w:rsidR="001709B1" w:rsidRDefault="001709B1" w:rsidP="001709B1">
      <w:pPr>
        <w:jc w:val="center"/>
        <w:rPr>
          <w:b/>
          <w:color w:val="000000" w:themeColor="text1"/>
          <w:u w:val="single"/>
        </w:rPr>
      </w:pPr>
    </w:p>
    <w:p w14:paraId="108CEC80" w14:textId="77777777" w:rsidR="001709B1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Cadre législatif</w:t>
      </w:r>
      <w:r w:rsidR="001709B1" w:rsidRPr="009821EA">
        <w:rPr>
          <w:b/>
          <w:color w:val="000000" w:themeColor="text1"/>
          <w:u w:val="single"/>
        </w:rPr>
        <w:t xml:space="preserve"> </w:t>
      </w:r>
    </w:p>
    <w:p w14:paraId="0959A5C6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4F39440B" w14:textId="77777777" w:rsidR="009821EA" w:rsidRPr="009821EA" w:rsidRDefault="009821EA" w:rsidP="009821EA">
      <w:pPr>
        <w:rPr>
          <w:color w:val="000000" w:themeColor="text1"/>
        </w:rPr>
      </w:pPr>
      <w:r>
        <w:rPr>
          <w:color w:val="000000" w:themeColor="text1"/>
        </w:rPr>
        <w:t>Art R 4311-7 décret du 24/07/2004 : Application prescription médicale</w:t>
      </w:r>
    </w:p>
    <w:p w14:paraId="62F42CCA" w14:textId="77777777" w:rsidR="009821EA" w:rsidRDefault="009821EA" w:rsidP="009821EA">
      <w:pPr>
        <w:rPr>
          <w:b/>
          <w:color w:val="000000" w:themeColor="text1"/>
          <w:u w:val="single"/>
        </w:rPr>
      </w:pPr>
    </w:p>
    <w:p w14:paraId="4C673692" w14:textId="77777777" w:rsidR="009821EA" w:rsidRDefault="009821EA" w:rsidP="009821EA">
      <w:pPr>
        <w:rPr>
          <w:color w:val="000000" w:themeColor="text1"/>
        </w:rPr>
      </w:pPr>
      <w:r w:rsidRPr="009821EA">
        <w:rPr>
          <w:b/>
          <w:color w:val="000000" w:themeColor="text1"/>
        </w:rPr>
        <w:t>CCI</w:t>
      </w:r>
      <w:r>
        <w:rPr>
          <w:color w:val="000000" w:themeColor="text1"/>
        </w:rPr>
        <w:t xml:space="preserve"> = Chambre à Cathéter Implantable </w:t>
      </w:r>
    </w:p>
    <w:p w14:paraId="2EA55C2D" w14:textId="77777777" w:rsidR="009821EA" w:rsidRDefault="009821EA" w:rsidP="009821EA">
      <w:pPr>
        <w:rPr>
          <w:color w:val="000000" w:themeColor="text1"/>
        </w:rPr>
      </w:pPr>
      <w:r w:rsidRPr="009821EA">
        <w:rPr>
          <w:b/>
          <w:color w:val="000000" w:themeColor="text1"/>
        </w:rPr>
        <w:t>CIP </w:t>
      </w:r>
      <w:r>
        <w:rPr>
          <w:color w:val="000000" w:themeColor="text1"/>
        </w:rPr>
        <w:t xml:space="preserve">=  Chambre Implantable Percutanée </w:t>
      </w:r>
    </w:p>
    <w:p w14:paraId="18CDFBB9" w14:textId="77777777" w:rsidR="009821EA" w:rsidRDefault="009821EA" w:rsidP="009821EA">
      <w:pPr>
        <w:rPr>
          <w:color w:val="000000" w:themeColor="text1"/>
        </w:rPr>
      </w:pPr>
      <w:r w:rsidRPr="009821EA">
        <w:rPr>
          <w:b/>
          <w:color w:val="000000" w:themeColor="text1"/>
        </w:rPr>
        <w:t xml:space="preserve">DIVLD </w:t>
      </w:r>
      <w:r>
        <w:rPr>
          <w:color w:val="000000" w:themeColor="text1"/>
        </w:rPr>
        <w:t xml:space="preserve">= Dispositif </w:t>
      </w:r>
      <w:proofErr w:type="spellStart"/>
      <w:r>
        <w:rPr>
          <w:color w:val="000000" w:themeColor="text1"/>
        </w:rPr>
        <w:t>Intra-Veineux</w:t>
      </w:r>
      <w:proofErr w:type="spellEnd"/>
      <w:r>
        <w:rPr>
          <w:color w:val="000000" w:themeColor="text1"/>
        </w:rPr>
        <w:t xml:space="preserve"> de Longue Durée</w:t>
      </w:r>
    </w:p>
    <w:p w14:paraId="313EA5B9" w14:textId="77777777" w:rsidR="009821EA" w:rsidRPr="009821EA" w:rsidRDefault="009821EA" w:rsidP="009821EA">
      <w:pPr>
        <w:rPr>
          <w:color w:val="000000" w:themeColor="text1"/>
        </w:rPr>
      </w:pPr>
      <w:r w:rsidRPr="009821EA">
        <w:rPr>
          <w:b/>
          <w:color w:val="000000" w:themeColor="text1"/>
        </w:rPr>
        <w:t xml:space="preserve">PAC </w:t>
      </w:r>
      <w:r>
        <w:rPr>
          <w:color w:val="000000" w:themeColor="text1"/>
        </w:rPr>
        <w:t xml:space="preserve">= </w:t>
      </w:r>
      <w:proofErr w:type="spellStart"/>
      <w:r>
        <w:rPr>
          <w:color w:val="000000" w:themeColor="text1"/>
        </w:rPr>
        <w:t>Porth</w:t>
      </w:r>
      <w:proofErr w:type="spellEnd"/>
      <w:r>
        <w:rPr>
          <w:color w:val="000000" w:themeColor="text1"/>
        </w:rPr>
        <w:t xml:space="preserve"> A </w:t>
      </w:r>
      <w:proofErr w:type="spellStart"/>
      <w:r>
        <w:rPr>
          <w:color w:val="000000" w:themeColor="text1"/>
        </w:rPr>
        <w:t>Cath</w:t>
      </w:r>
      <w:proofErr w:type="spellEnd"/>
      <w:r>
        <w:rPr>
          <w:color w:val="000000" w:themeColor="text1"/>
        </w:rPr>
        <w:t xml:space="preserve"> / nom commercial</w:t>
      </w:r>
    </w:p>
    <w:p w14:paraId="4B6888EB" w14:textId="77777777" w:rsidR="009821EA" w:rsidRDefault="009821EA" w:rsidP="009821EA">
      <w:pPr>
        <w:rPr>
          <w:b/>
          <w:color w:val="000000" w:themeColor="text1"/>
          <w:u w:val="single"/>
        </w:rPr>
      </w:pPr>
    </w:p>
    <w:p w14:paraId="045969A1" w14:textId="77777777" w:rsidR="009821EA" w:rsidRPr="009821EA" w:rsidRDefault="009821EA" w:rsidP="009821EA">
      <w:pPr>
        <w:rPr>
          <w:b/>
          <w:color w:val="000000" w:themeColor="text1"/>
          <w:u w:val="single"/>
        </w:rPr>
      </w:pPr>
    </w:p>
    <w:p w14:paraId="7535F930" w14:textId="77777777" w:rsidR="009821EA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 w:rsidRPr="009821EA">
        <w:rPr>
          <w:b/>
          <w:color w:val="000000" w:themeColor="text1"/>
          <w:u w:val="single"/>
        </w:rPr>
        <w:t xml:space="preserve">Définition </w:t>
      </w:r>
    </w:p>
    <w:p w14:paraId="32A58D04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141F9F8F" w14:textId="77777777" w:rsidR="009821EA" w:rsidRPr="009821EA" w:rsidRDefault="009821EA" w:rsidP="009821EA">
      <w:pPr>
        <w:pStyle w:val="Paragraphedeliste"/>
        <w:rPr>
          <w:b/>
          <w:i/>
          <w:color w:val="984806" w:themeColor="accent6" w:themeShade="80"/>
        </w:rPr>
      </w:pPr>
      <w:r w:rsidRPr="009821EA">
        <w:rPr>
          <w:b/>
          <w:i/>
          <w:color w:val="984806" w:themeColor="accent6" w:themeShade="80"/>
        </w:rPr>
        <w:t>Système implantable sous cutanée stérile, placé chirurgicalement, directement sous la peau, permettant un accès veineux central de longue durée.</w:t>
      </w:r>
    </w:p>
    <w:p w14:paraId="1C38E0E8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4D18E159" w14:textId="77777777" w:rsidR="009821EA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Caractéristiques générales de la CCI</w:t>
      </w:r>
    </w:p>
    <w:p w14:paraId="4E89EE98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1C932034" w14:textId="77777777" w:rsidR="009821EA" w:rsidRDefault="00465FEB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Rigide,</w:t>
      </w:r>
      <w:r w:rsidR="009821EA">
        <w:rPr>
          <w:color w:val="000000" w:themeColor="text1"/>
        </w:rPr>
        <w:t xml:space="preserve"> indéformable, radio-opaque</w:t>
      </w:r>
    </w:p>
    <w:p w14:paraId="53471C58" w14:textId="77777777" w:rsidR="009821EA" w:rsidRDefault="009821E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En titane, acier inoxydable ou en matière plastique : compatible avec l’IRM et la radiothérapie</w:t>
      </w:r>
    </w:p>
    <w:p w14:paraId="6A17314F" w14:textId="77777777" w:rsidR="00465FEB" w:rsidRDefault="00465FEB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Système d’accès et non de stockage</w:t>
      </w:r>
    </w:p>
    <w:p w14:paraId="16CB9FA2" w14:textId="77777777" w:rsidR="009821EA" w:rsidRDefault="00465FEB" w:rsidP="00465FEB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</w:t>
      </w:r>
      <w:r w:rsidRPr="00465FEB">
        <w:rPr>
          <w:color w:val="FF0000"/>
        </w:rPr>
        <w:t>Utiliser une seringue minimum de 10ml</w:t>
      </w:r>
      <w:r>
        <w:rPr>
          <w:color w:val="000000" w:themeColor="text1"/>
        </w:rPr>
        <w:t xml:space="preserve"> (contenant 10ml</w:t>
      </w:r>
      <w:r w:rsidR="000C5C57">
        <w:rPr>
          <w:color w:val="000000" w:themeColor="text1"/>
        </w:rPr>
        <w:t xml:space="preserve"> car risque de désunion dû</w:t>
      </w:r>
      <w:r w:rsidR="00B1207A">
        <w:rPr>
          <w:color w:val="000000" w:themeColor="text1"/>
        </w:rPr>
        <w:t xml:space="preserve"> à la pression</w:t>
      </w:r>
      <w:r>
        <w:rPr>
          <w:color w:val="000000" w:themeColor="text1"/>
        </w:rPr>
        <w:t>)</w:t>
      </w:r>
    </w:p>
    <w:p w14:paraId="1CB7CDF7" w14:textId="77777777" w:rsidR="00465FEB" w:rsidRPr="00B1207A" w:rsidRDefault="00465FEB" w:rsidP="00465FEB">
      <w:pPr>
        <w:pStyle w:val="Paragraphedeliste"/>
      </w:pPr>
      <w:r>
        <w:rPr>
          <w:color w:val="000000" w:themeColor="text1"/>
        </w:rPr>
        <w:t>- Chambre d’injection ou réservoir recou</w:t>
      </w:r>
      <w:r w:rsidR="00B1207A">
        <w:rPr>
          <w:color w:val="000000" w:themeColor="text1"/>
        </w:rPr>
        <w:t>vert d’une membrane en silicone</w:t>
      </w:r>
      <w:r>
        <w:rPr>
          <w:color w:val="000000" w:themeColor="text1"/>
        </w:rPr>
        <w:t xml:space="preserve">, </w:t>
      </w:r>
      <w:r>
        <w:rPr>
          <w:color w:val="FF0000"/>
        </w:rPr>
        <w:t>le septum</w:t>
      </w:r>
      <w:r w:rsidR="00B1207A">
        <w:rPr>
          <w:color w:val="FF0000"/>
        </w:rPr>
        <w:t xml:space="preserve"> </w:t>
      </w:r>
      <w:r w:rsidR="00B1207A">
        <w:t>(tolère 1000 à 2000 ponctions).</w:t>
      </w:r>
    </w:p>
    <w:p w14:paraId="5265347A" w14:textId="77777777" w:rsidR="009821EA" w:rsidRP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0F9B0B8F" w14:textId="77777777" w:rsidR="009821EA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Différents lieux d’implantation de la CCI</w:t>
      </w:r>
    </w:p>
    <w:p w14:paraId="4A171B41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737D7031" w14:textId="77777777" w:rsidR="009821EA" w:rsidRDefault="00B1207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Jugulaire </w:t>
      </w:r>
    </w:p>
    <w:p w14:paraId="2E45F100" w14:textId="77777777" w:rsidR="00B1207A" w:rsidRDefault="00B1207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Sous </w:t>
      </w:r>
      <w:proofErr w:type="spellStart"/>
      <w:r>
        <w:rPr>
          <w:color w:val="000000" w:themeColor="text1"/>
        </w:rPr>
        <w:t>clavière</w:t>
      </w:r>
      <w:proofErr w:type="spellEnd"/>
    </w:p>
    <w:p w14:paraId="4C3B67BD" w14:textId="77777777" w:rsidR="009821EA" w:rsidRPr="000C5C57" w:rsidRDefault="00B1207A" w:rsidP="000C5C57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-Veine axillaire</w:t>
      </w:r>
    </w:p>
    <w:p w14:paraId="1E07963A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241AFD5F" w14:textId="77777777" w:rsidR="009821EA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Indications et contre indications</w:t>
      </w:r>
    </w:p>
    <w:p w14:paraId="3A76F83C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011DDDA8" w14:textId="77777777" w:rsidR="009821EA" w:rsidRDefault="000C5C57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Thérapeutique : TTT de longue durée sollicitant le capital veineux pe</w:t>
      </w:r>
      <w:r w:rsidR="00355398">
        <w:rPr>
          <w:color w:val="000000" w:themeColor="text1"/>
        </w:rPr>
        <w:t>ndant des périodes prolongées (</w:t>
      </w:r>
      <w:r>
        <w:rPr>
          <w:color w:val="000000" w:themeColor="text1"/>
        </w:rPr>
        <w:t xml:space="preserve">Mucoviscidose, antibiotiques, dialyse </w:t>
      </w:r>
      <w:proofErr w:type="spellStart"/>
      <w:r>
        <w:rPr>
          <w:color w:val="000000" w:themeColor="text1"/>
        </w:rPr>
        <w:t>veino</w:t>
      </w:r>
      <w:proofErr w:type="spellEnd"/>
      <w:r>
        <w:rPr>
          <w:color w:val="000000" w:themeColor="text1"/>
        </w:rPr>
        <w:t>-veineuse)</w:t>
      </w:r>
    </w:p>
    <w:p w14:paraId="71CD30EC" w14:textId="77777777" w:rsidR="00355398" w:rsidRDefault="00355398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  &gt; Chimiothérapie anti-cancéreuse</w:t>
      </w:r>
    </w:p>
    <w:p w14:paraId="67DAC518" w14:textId="77777777" w:rsidR="00355398" w:rsidRDefault="00355398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  &gt; Nutrition parentérale</w:t>
      </w:r>
    </w:p>
    <w:p w14:paraId="4EC81CBC" w14:textId="77777777" w:rsidR="00355398" w:rsidRDefault="00355398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  &gt; Antibiothérapies de long  court</w:t>
      </w:r>
    </w:p>
    <w:p w14:paraId="6E032B2A" w14:textId="77777777" w:rsidR="00355398" w:rsidRDefault="00355398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  &gt; </w:t>
      </w:r>
      <w:proofErr w:type="gramStart"/>
      <w:r>
        <w:rPr>
          <w:color w:val="000000" w:themeColor="text1"/>
        </w:rPr>
        <w:t>transfusions</w:t>
      </w:r>
      <w:proofErr w:type="gramEnd"/>
      <w:r>
        <w:rPr>
          <w:color w:val="000000" w:themeColor="text1"/>
        </w:rPr>
        <w:t xml:space="preserve"> répétées</w:t>
      </w:r>
    </w:p>
    <w:p w14:paraId="0A9BE66B" w14:textId="77777777" w:rsidR="00355398" w:rsidRPr="000C5C57" w:rsidRDefault="00355398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  &gt; sert assurer des prélèvements veineux</w:t>
      </w:r>
    </w:p>
    <w:p w14:paraId="19E3499A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3F8B4B4C" w14:textId="77777777" w:rsidR="009821EA" w:rsidRPr="00355398" w:rsidRDefault="00355398" w:rsidP="009821EA">
      <w:pPr>
        <w:pStyle w:val="Paragraphedeliste"/>
        <w:rPr>
          <w:b/>
          <w:color w:val="FF0000"/>
        </w:rPr>
      </w:pPr>
      <w:r w:rsidRPr="00355398">
        <w:rPr>
          <w:b/>
          <w:color w:val="FF0000"/>
        </w:rPr>
        <w:t>On injecte jamais d’eau pur pour préparation injectable rinc</w:t>
      </w:r>
      <w:r>
        <w:rPr>
          <w:b/>
          <w:color w:val="FF0000"/>
        </w:rPr>
        <w:t>er car risque hémolytique (</w:t>
      </w:r>
      <w:r w:rsidRPr="00355398">
        <w:rPr>
          <w:b/>
          <w:color w:val="FF0000"/>
        </w:rPr>
        <w:t>GR éclate)</w:t>
      </w:r>
    </w:p>
    <w:p w14:paraId="5DD47ED8" w14:textId="77777777" w:rsidR="009821EA" w:rsidRDefault="00355398" w:rsidP="009821EA">
      <w:pPr>
        <w:pStyle w:val="Paragraphedeliste"/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lastRenderedPageBreak/>
        <w:t>Inconvénients :</w:t>
      </w:r>
    </w:p>
    <w:p w14:paraId="3C131550" w14:textId="77777777" w:rsidR="00355398" w:rsidRDefault="00355398" w:rsidP="009821EA">
      <w:pPr>
        <w:pStyle w:val="Paragraphedeliste"/>
        <w:rPr>
          <w:b/>
          <w:color w:val="000000" w:themeColor="text1"/>
          <w:u w:val="single"/>
        </w:rPr>
      </w:pPr>
    </w:p>
    <w:p w14:paraId="432566AB" w14:textId="77777777" w:rsidR="00355398" w:rsidRDefault="00355398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temps opératoire plus long </w:t>
      </w:r>
    </w:p>
    <w:p w14:paraId="0CE08857" w14:textId="77777777" w:rsidR="00355398" w:rsidRDefault="00355398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cicatrice</w:t>
      </w:r>
    </w:p>
    <w:p w14:paraId="1CDB1965" w14:textId="77777777" w:rsidR="00355398" w:rsidRDefault="00355398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Risques : infection, thrombose, embolie …</w:t>
      </w:r>
    </w:p>
    <w:p w14:paraId="1C69FC7A" w14:textId="77777777" w:rsidR="00355398" w:rsidRDefault="006F0E5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Gêne selon la localisation (</w:t>
      </w:r>
      <w:r w:rsidR="00355398">
        <w:rPr>
          <w:color w:val="000000" w:themeColor="text1"/>
        </w:rPr>
        <w:t>ceinture de sécurité)</w:t>
      </w:r>
    </w:p>
    <w:p w14:paraId="2907A46C" w14:textId="77777777" w:rsidR="006F0E5A" w:rsidRDefault="006F0E5A" w:rsidP="009821EA">
      <w:pPr>
        <w:pStyle w:val="Paragraphedeliste"/>
        <w:rPr>
          <w:color w:val="000000" w:themeColor="text1"/>
        </w:rPr>
      </w:pPr>
    </w:p>
    <w:p w14:paraId="253B7D61" w14:textId="77777777" w:rsidR="006F0E5A" w:rsidRDefault="006F0E5A" w:rsidP="006F0E5A">
      <w:pPr>
        <w:pStyle w:val="Paragraphedeliste"/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Avantages :</w:t>
      </w:r>
    </w:p>
    <w:p w14:paraId="7645CA47" w14:textId="77777777" w:rsidR="006F0E5A" w:rsidRDefault="006F0E5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Respect capital veineux périphérique</w:t>
      </w:r>
    </w:p>
    <w:p w14:paraId="6E6DF00A" w14:textId="77777777" w:rsidR="006F0E5A" w:rsidRDefault="006F0E5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Durée de vie plus longue </w:t>
      </w:r>
    </w:p>
    <w:p w14:paraId="0A9E9F5B" w14:textId="77777777" w:rsidR="006F0E5A" w:rsidRPr="00355398" w:rsidRDefault="006F0E5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Meilleur qualité de vie du patient</w:t>
      </w:r>
    </w:p>
    <w:p w14:paraId="025412F2" w14:textId="77777777" w:rsidR="00355398" w:rsidRDefault="00355398" w:rsidP="009821EA">
      <w:pPr>
        <w:pStyle w:val="Paragraphedeliste"/>
        <w:rPr>
          <w:b/>
          <w:color w:val="000000" w:themeColor="text1"/>
          <w:u w:val="single"/>
        </w:rPr>
      </w:pPr>
    </w:p>
    <w:p w14:paraId="4F39EEAC" w14:textId="41AE21D2" w:rsidR="00961FE6" w:rsidRDefault="00961FE6" w:rsidP="00961FE6">
      <w:pPr>
        <w:pStyle w:val="Paragraphedeliste"/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Exclusion :</w:t>
      </w:r>
    </w:p>
    <w:p w14:paraId="6C09CE3D" w14:textId="4DD3F201" w:rsidR="00961FE6" w:rsidRDefault="00961FE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zones préalablement irradiés </w:t>
      </w:r>
    </w:p>
    <w:p w14:paraId="505451D3" w14:textId="43689FBE" w:rsidR="00961FE6" w:rsidRDefault="00961FE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zones infectées ou brûlées </w:t>
      </w:r>
    </w:p>
    <w:p w14:paraId="1C3D78ED" w14:textId="5EB3679B" w:rsidR="00961FE6" w:rsidRDefault="00961FE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états septiques</w:t>
      </w:r>
    </w:p>
    <w:p w14:paraId="3B69A388" w14:textId="239A7EED" w:rsidR="00961FE6" w:rsidRPr="00961FE6" w:rsidRDefault="00961FE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troubles majeurs de la coagulation</w:t>
      </w:r>
    </w:p>
    <w:p w14:paraId="670BB65E" w14:textId="77777777" w:rsidR="009821EA" w:rsidRPr="00D92E46" w:rsidRDefault="009821EA" w:rsidP="00D92E46">
      <w:pPr>
        <w:rPr>
          <w:b/>
          <w:color w:val="000000" w:themeColor="text1"/>
          <w:u w:val="single"/>
        </w:rPr>
      </w:pPr>
    </w:p>
    <w:p w14:paraId="476031A7" w14:textId="77777777" w:rsidR="009821EA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Pose de la CCI</w:t>
      </w:r>
    </w:p>
    <w:p w14:paraId="505DB706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3643357A" w14:textId="66708F6B" w:rsidR="009821EA" w:rsidRDefault="00D92E4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au bloc opératoire</w:t>
      </w:r>
    </w:p>
    <w:p w14:paraId="5AFE3CD5" w14:textId="799AFC77" w:rsidR="00D92E46" w:rsidRDefault="00D92E4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sous anesthésie locale ou générale</w:t>
      </w:r>
    </w:p>
    <w:p w14:paraId="073AE620" w14:textId="2AF4B329" w:rsidR="00D92E46" w:rsidRPr="00D92E46" w:rsidRDefault="00D92E4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le + souvent </w:t>
      </w:r>
      <w:proofErr w:type="spellStart"/>
      <w:r>
        <w:rPr>
          <w:color w:val="000000" w:themeColor="text1"/>
        </w:rPr>
        <w:t>tunnelisé</w:t>
      </w:r>
      <w:proofErr w:type="spellEnd"/>
      <w:r>
        <w:rPr>
          <w:color w:val="000000" w:themeColor="text1"/>
        </w:rPr>
        <w:t xml:space="preserve"> (sous la peau)</w:t>
      </w:r>
    </w:p>
    <w:p w14:paraId="4B674A0F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5490F8E4" w14:textId="0A946E6D" w:rsidR="009821EA" w:rsidRDefault="006C7B8F" w:rsidP="009821EA">
      <w:pPr>
        <w:pStyle w:val="Paragraphedeliste"/>
        <w:rPr>
          <w:color w:val="000000" w:themeColor="text1"/>
        </w:rPr>
      </w:pPr>
      <w:r>
        <w:rPr>
          <w:b/>
          <w:color w:val="000000" w:themeColor="text1"/>
          <w:u w:val="single"/>
        </w:rPr>
        <w:t>Post-op :</w:t>
      </w:r>
    </w:p>
    <w:p w14:paraId="7B5CFA33" w14:textId="5D0E208B" w:rsidR="006C7B8F" w:rsidRPr="006C7B8F" w:rsidRDefault="006C7B8F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</w:t>
      </w:r>
      <w:r w:rsidRPr="006C7B8F">
        <w:rPr>
          <w:color w:val="FF0000"/>
        </w:rPr>
        <w:t>radio thorax F+P (risque pneumothorax</w:t>
      </w:r>
      <w:r>
        <w:rPr>
          <w:color w:val="000000" w:themeColor="text1"/>
        </w:rPr>
        <w:t xml:space="preserve"> et/ou hémothorax)</w:t>
      </w:r>
    </w:p>
    <w:p w14:paraId="58A91BB1" w14:textId="1F5BD05B" w:rsidR="009821EA" w:rsidRDefault="006C7B8F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la CCI est opérationnelle immédiatement </w:t>
      </w:r>
    </w:p>
    <w:p w14:paraId="793351DE" w14:textId="6365A1E6" w:rsidR="006C7B8F" w:rsidRDefault="006C7B8F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patient reçoit une carte d’identification du matériel </w:t>
      </w:r>
    </w:p>
    <w:p w14:paraId="4D00DE21" w14:textId="48F0BFAA" w:rsidR="006C7B8F" w:rsidRDefault="006C7B8F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Surveillance </w:t>
      </w:r>
      <w:r w:rsidRPr="006C7B8F">
        <w:rPr>
          <w:color w:val="FF0000"/>
        </w:rPr>
        <w:t xml:space="preserve">locale </w:t>
      </w:r>
      <w:r>
        <w:rPr>
          <w:color w:val="000000" w:themeColor="text1"/>
        </w:rPr>
        <w:t xml:space="preserve">(pansement- </w:t>
      </w:r>
      <w:r w:rsidRPr="00DA18BE">
        <w:rPr>
          <w:color w:val="FF0000"/>
        </w:rPr>
        <w:t>risque d’hématome</w:t>
      </w:r>
      <w:r>
        <w:rPr>
          <w:color w:val="000000" w:themeColor="text1"/>
        </w:rPr>
        <w:t xml:space="preserve">), </w:t>
      </w:r>
      <w:r w:rsidRPr="006C7B8F">
        <w:rPr>
          <w:color w:val="FF0000"/>
        </w:rPr>
        <w:t>générale</w:t>
      </w:r>
      <w:r>
        <w:rPr>
          <w:color w:val="000000" w:themeColor="text1"/>
        </w:rPr>
        <w:t xml:space="preserve"> (douleur-signes infectieux), </w:t>
      </w:r>
      <w:r w:rsidRPr="006C7B8F">
        <w:rPr>
          <w:color w:val="FF0000"/>
        </w:rPr>
        <w:t xml:space="preserve">fonctionnelle </w:t>
      </w:r>
      <w:r>
        <w:rPr>
          <w:color w:val="000000" w:themeColor="text1"/>
        </w:rPr>
        <w:t>(perméabilité)</w:t>
      </w:r>
    </w:p>
    <w:p w14:paraId="29F1504E" w14:textId="7D9FDA85" w:rsidR="009821EA" w:rsidRPr="00382F8A" w:rsidRDefault="006C7B8F" w:rsidP="00382F8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- traçabilité sur dossier de soins</w:t>
      </w:r>
    </w:p>
    <w:p w14:paraId="29A29395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5D048D66" w14:textId="77777777" w:rsidR="009821EA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Recommandations et règles d’hygiène</w:t>
      </w:r>
    </w:p>
    <w:p w14:paraId="12B16CD5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3BA8D4A3" w14:textId="3B5CAFA8" w:rsidR="009821EA" w:rsidRDefault="00382F8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&gt; </w:t>
      </w:r>
      <w:r w:rsidRPr="00382F8A">
        <w:rPr>
          <w:color w:val="000000" w:themeColor="text1"/>
          <w:u w:val="single"/>
        </w:rPr>
        <w:t>Gestion de la douleur :</w:t>
      </w:r>
      <w:r>
        <w:rPr>
          <w:color w:val="000000" w:themeColor="text1"/>
        </w:rPr>
        <w:t xml:space="preserve"> EMLA 1h</w:t>
      </w:r>
    </w:p>
    <w:p w14:paraId="6DCB9599" w14:textId="77777777" w:rsidR="00382F8A" w:rsidRDefault="00382F8A" w:rsidP="009821EA">
      <w:pPr>
        <w:pStyle w:val="Paragraphedeliste"/>
        <w:rPr>
          <w:color w:val="000000" w:themeColor="text1"/>
        </w:rPr>
      </w:pPr>
    </w:p>
    <w:p w14:paraId="3636F90E" w14:textId="1FD6DC63" w:rsidR="00382F8A" w:rsidRPr="00382F8A" w:rsidRDefault="00382F8A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&gt; </w:t>
      </w:r>
      <w:r w:rsidRPr="00382F8A">
        <w:rPr>
          <w:color w:val="000000" w:themeColor="text1"/>
          <w:u w:val="single"/>
        </w:rPr>
        <w:t>Choix de l’aiguille de Huber </w:t>
      </w:r>
      <w:r w:rsidR="00C66C5B">
        <w:rPr>
          <w:color w:val="000000" w:themeColor="text1"/>
        </w:rPr>
        <w:t xml:space="preserve">: </w:t>
      </w:r>
      <w:r>
        <w:rPr>
          <w:color w:val="000000" w:themeColor="text1"/>
        </w:rPr>
        <w:t>carnet du suivi du patient</w:t>
      </w:r>
      <w:r w:rsidR="00C66C5B">
        <w:rPr>
          <w:color w:val="000000" w:themeColor="text1"/>
        </w:rPr>
        <w:t xml:space="preserve"> </w:t>
      </w:r>
    </w:p>
    <w:p w14:paraId="56F23FF7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268CBCE6" w14:textId="5EC5C62B" w:rsidR="009821EA" w:rsidRDefault="00382F8A" w:rsidP="00382F8A">
      <w:pPr>
        <w:rPr>
          <w:color w:val="000000" w:themeColor="text1"/>
        </w:rPr>
      </w:pPr>
      <w:r>
        <w:rPr>
          <w:color w:val="000000" w:themeColor="text1"/>
        </w:rPr>
        <w:t xml:space="preserve">Aiguille </w:t>
      </w:r>
      <w:r w:rsidR="00C66C5B">
        <w:rPr>
          <w:color w:val="000000" w:themeColor="text1"/>
        </w:rPr>
        <w:t>trop courte : risque d’extravasation</w:t>
      </w:r>
    </w:p>
    <w:p w14:paraId="768B72F3" w14:textId="7B3394B6" w:rsidR="00C66C5B" w:rsidRPr="00382F8A" w:rsidRDefault="00C66C5B" w:rsidP="00382F8A">
      <w:pPr>
        <w:rPr>
          <w:color w:val="000000" w:themeColor="text1"/>
        </w:rPr>
      </w:pPr>
      <w:r>
        <w:rPr>
          <w:color w:val="000000" w:themeColor="text1"/>
        </w:rPr>
        <w:t xml:space="preserve">Aiguille trop longue : effet de bascule, instabilité, extravasation </w:t>
      </w:r>
    </w:p>
    <w:p w14:paraId="0037990D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6FF744DD" w14:textId="2FDBB1B0" w:rsidR="009821EA" w:rsidRPr="004444D5" w:rsidRDefault="004444D5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- </w:t>
      </w:r>
      <w:r w:rsidRPr="004444D5">
        <w:rPr>
          <w:b/>
          <w:color w:val="000000" w:themeColor="text1"/>
        </w:rPr>
        <w:t>respect 5 temps : détersion, séchage, 1</w:t>
      </w:r>
      <w:r w:rsidRPr="004444D5">
        <w:rPr>
          <w:b/>
          <w:color w:val="000000" w:themeColor="text1"/>
          <w:vertAlign w:val="superscript"/>
        </w:rPr>
        <w:t>ère</w:t>
      </w:r>
      <w:r w:rsidRPr="004444D5">
        <w:rPr>
          <w:b/>
          <w:color w:val="000000" w:themeColor="text1"/>
        </w:rPr>
        <w:t xml:space="preserve"> désinfection cutanée à mains propres et 2</w:t>
      </w:r>
      <w:r w:rsidRPr="004444D5">
        <w:rPr>
          <w:b/>
          <w:color w:val="000000" w:themeColor="text1"/>
          <w:vertAlign w:val="superscript"/>
        </w:rPr>
        <w:t>ème</w:t>
      </w:r>
      <w:r w:rsidRPr="004444D5">
        <w:rPr>
          <w:b/>
          <w:color w:val="000000" w:themeColor="text1"/>
        </w:rPr>
        <w:t xml:space="preserve"> désinfection cutanée avec gants stériles</w:t>
      </w:r>
    </w:p>
    <w:p w14:paraId="7C19B484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012F1947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06E96CDF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440263B4" w14:textId="1C74373A" w:rsidR="009821EA" w:rsidRPr="008E2946" w:rsidRDefault="00687A78" w:rsidP="00687A78">
      <w:r>
        <w:rPr>
          <w:b/>
          <w:color w:val="000000" w:themeColor="text1"/>
          <w:u w:val="single"/>
        </w:rPr>
        <w:t>Diamètre de l’aiguille </w:t>
      </w:r>
      <w:proofErr w:type="gramStart"/>
      <w:r>
        <w:rPr>
          <w:b/>
          <w:color w:val="000000" w:themeColor="text1"/>
          <w:u w:val="single"/>
        </w:rPr>
        <w:t xml:space="preserve">: </w:t>
      </w:r>
      <w:r>
        <w:rPr>
          <w:color w:val="FF0000"/>
        </w:rPr>
        <w:t xml:space="preserve"> </w:t>
      </w:r>
      <w:r w:rsidR="008E2946">
        <w:rPr>
          <w:color w:val="FF0000"/>
        </w:rPr>
        <w:t>Gauge</w:t>
      </w:r>
      <w:proofErr w:type="gramEnd"/>
      <w:r w:rsidR="008E2946">
        <w:rPr>
          <w:color w:val="FF0000"/>
        </w:rPr>
        <w:t xml:space="preserve"> = nombres de canules pouvant être disposées dans un gabarit circulaire de 2,54 cm de diamètre . </w:t>
      </w:r>
      <w:r w:rsidR="008E2946">
        <w:t>Privilégier 22G.</w:t>
      </w:r>
    </w:p>
    <w:p w14:paraId="2AB7DAAE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788F0AB6" w14:textId="4BA4CF03" w:rsidR="00382F8A" w:rsidRDefault="008E294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&gt; Préparer ligne de perfusion (Poche 250 ml)</w:t>
      </w:r>
    </w:p>
    <w:p w14:paraId="31775FD9" w14:textId="71CB4550" w:rsidR="008E2946" w:rsidRDefault="008E294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&gt; Purger l’ensemble du système</w:t>
      </w:r>
    </w:p>
    <w:p w14:paraId="1E2EFD7C" w14:textId="41712CA0" w:rsidR="008E2946" w:rsidRDefault="008E294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&gt; Système clos</w:t>
      </w:r>
    </w:p>
    <w:p w14:paraId="0BBF356C" w14:textId="2DC9DF67" w:rsidR="008E2946" w:rsidRDefault="008E2946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&gt; Repérer et maintenir la chambre entre 2 doigts et piquer perpendiculairement au centre de la chambre</w:t>
      </w:r>
    </w:p>
    <w:p w14:paraId="4916C2E7" w14:textId="4056E675" w:rsidR="00942C90" w:rsidRPr="00000C52" w:rsidRDefault="00942C90" w:rsidP="009821EA">
      <w:pPr>
        <w:pStyle w:val="Paragraphedeliste"/>
        <w:rPr>
          <w:b/>
          <w:color w:val="000000" w:themeColor="text1"/>
        </w:rPr>
      </w:pPr>
      <w:r>
        <w:rPr>
          <w:color w:val="000000" w:themeColor="text1"/>
        </w:rPr>
        <w:t xml:space="preserve">&gt; </w:t>
      </w:r>
      <w:r w:rsidR="00000C52">
        <w:rPr>
          <w:color w:val="000000" w:themeColor="text1"/>
        </w:rPr>
        <w:t xml:space="preserve">placer </w:t>
      </w:r>
      <w:r w:rsidR="00000C52" w:rsidRPr="00000C52">
        <w:rPr>
          <w:b/>
          <w:color w:val="000000" w:themeColor="text1"/>
        </w:rPr>
        <w:t xml:space="preserve">biseau de l’aiguille à l’opposé de la lumière du cathéter </w:t>
      </w:r>
    </w:p>
    <w:p w14:paraId="52C73C08" w14:textId="3DE06FD5" w:rsidR="00000C52" w:rsidRDefault="00000C52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&gt; rechercher reflux sanguin</w:t>
      </w:r>
    </w:p>
    <w:p w14:paraId="60D3F164" w14:textId="01C34505" w:rsidR="00000C52" w:rsidRDefault="00000C52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&gt; </w:t>
      </w:r>
      <w:r w:rsidRPr="00000C52">
        <w:rPr>
          <w:b/>
          <w:color w:val="000000" w:themeColor="text1"/>
        </w:rPr>
        <w:t>Rincer par « à coups »</w:t>
      </w:r>
      <w:r>
        <w:rPr>
          <w:color w:val="000000" w:themeColor="text1"/>
        </w:rPr>
        <w:t xml:space="preserve"> avant tout injection</w:t>
      </w:r>
    </w:p>
    <w:p w14:paraId="701C1E4C" w14:textId="28F8FDC7" w:rsidR="00000C52" w:rsidRPr="00000C52" w:rsidRDefault="00000C52" w:rsidP="009821EA">
      <w:pPr>
        <w:pStyle w:val="Paragraphedeliste"/>
        <w:rPr>
          <w:b/>
          <w:color w:val="000000" w:themeColor="text1"/>
        </w:rPr>
      </w:pPr>
      <w:r>
        <w:rPr>
          <w:color w:val="000000" w:themeColor="text1"/>
        </w:rPr>
        <w:t xml:space="preserve">&gt; utiliser des seringues d’un </w:t>
      </w:r>
      <w:r w:rsidRPr="00000C52">
        <w:rPr>
          <w:b/>
          <w:color w:val="000000" w:themeColor="text1"/>
        </w:rPr>
        <w:t>volume &gt;</w:t>
      </w:r>
      <w:r w:rsidR="003B57AE">
        <w:rPr>
          <w:b/>
          <w:color w:val="000000" w:themeColor="text1"/>
        </w:rPr>
        <w:t xml:space="preserve"> </w:t>
      </w:r>
      <w:r w:rsidRPr="00000C52">
        <w:rPr>
          <w:b/>
          <w:color w:val="000000" w:themeColor="text1"/>
        </w:rPr>
        <w:t>ou = 10ml</w:t>
      </w:r>
    </w:p>
    <w:p w14:paraId="6A4CFEC1" w14:textId="77777777" w:rsidR="009821EA" w:rsidRPr="0088531E" w:rsidRDefault="009821EA" w:rsidP="0088531E">
      <w:pPr>
        <w:rPr>
          <w:b/>
          <w:color w:val="000000" w:themeColor="text1"/>
          <w:u w:val="single"/>
        </w:rPr>
      </w:pPr>
    </w:p>
    <w:p w14:paraId="26D61F23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7F754034" w14:textId="77777777" w:rsidR="009821EA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 xml:space="preserve">Complications et conduite à tenir </w:t>
      </w:r>
    </w:p>
    <w:p w14:paraId="502CF776" w14:textId="77777777" w:rsidR="009821EA" w:rsidRDefault="009821EA" w:rsidP="009821EA">
      <w:pPr>
        <w:pStyle w:val="Paragraphedeliste"/>
        <w:rPr>
          <w:color w:val="000000" w:themeColor="text1"/>
        </w:rPr>
      </w:pPr>
    </w:p>
    <w:p w14:paraId="0127D3D3" w14:textId="05A899FA" w:rsidR="003B57AE" w:rsidRDefault="003B57AE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&gt; </w:t>
      </w:r>
      <w:r w:rsidRPr="003B57AE">
        <w:rPr>
          <w:b/>
          <w:i/>
          <w:color w:val="000000" w:themeColor="text1"/>
        </w:rPr>
        <w:t>Infections</w:t>
      </w:r>
      <w:r w:rsidR="002B0D20">
        <w:rPr>
          <w:color w:val="000000" w:themeColor="text1"/>
        </w:rPr>
        <w:t xml:space="preserve">  (signes : rougeur</w:t>
      </w:r>
      <w:r>
        <w:rPr>
          <w:color w:val="000000" w:themeColor="text1"/>
        </w:rPr>
        <w:t>,</w:t>
      </w:r>
      <w:r w:rsidR="002B0D20">
        <w:rPr>
          <w:color w:val="000000" w:themeColor="text1"/>
        </w:rPr>
        <w:t xml:space="preserve"> </w:t>
      </w:r>
      <w:r>
        <w:rPr>
          <w:color w:val="000000" w:themeColor="text1"/>
        </w:rPr>
        <w:t>œdème</w:t>
      </w:r>
      <w:r w:rsidR="002B0D20">
        <w:rPr>
          <w:color w:val="000000" w:themeColor="text1"/>
        </w:rPr>
        <w:t xml:space="preserve">, </w:t>
      </w:r>
      <w:r>
        <w:rPr>
          <w:color w:val="000000" w:themeColor="text1"/>
        </w:rPr>
        <w:t>douleur, chaleur, fièvre)</w:t>
      </w:r>
    </w:p>
    <w:p w14:paraId="6FF5E4D2" w14:textId="1044B7D6" w:rsidR="003B57AE" w:rsidRDefault="003B57AE" w:rsidP="009821EA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&gt; </w:t>
      </w:r>
      <w:r w:rsidRPr="003B57AE">
        <w:rPr>
          <w:b/>
          <w:i/>
          <w:color w:val="000000" w:themeColor="text1"/>
        </w:rPr>
        <w:t>Extravasation </w:t>
      </w:r>
      <w:r>
        <w:rPr>
          <w:color w:val="000000" w:themeColor="text1"/>
        </w:rPr>
        <w:t>: aspirer le liquide</w:t>
      </w:r>
    </w:p>
    <w:p w14:paraId="26A3CB03" w14:textId="305D3B6A" w:rsidR="00C164FF" w:rsidRDefault="003B57AE" w:rsidP="00C164FF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&gt; </w:t>
      </w:r>
      <w:r w:rsidRPr="003B57AE">
        <w:rPr>
          <w:b/>
          <w:i/>
          <w:color w:val="000000" w:themeColor="text1"/>
        </w:rPr>
        <w:t>Obstruction</w:t>
      </w:r>
      <w:r w:rsidR="002B0D20">
        <w:rPr>
          <w:color w:val="000000" w:themeColor="text1"/>
        </w:rPr>
        <w:t> : rinçag</w:t>
      </w:r>
      <w:r w:rsidR="00C164FF">
        <w:rPr>
          <w:color w:val="000000" w:themeColor="text1"/>
        </w:rPr>
        <w:t>e</w:t>
      </w:r>
    </w:p>
    <w:p w14:paraId="16A0C2C8" w14:textId="1DF6134D" w:rsidR="00C164FF" w:rsidRDefault="00C164FF" w:rsidP="00C164FF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 xml:space="preserve">&gt; </w:t>
      </w:r>
      <w:r>
        <w:rPr>
          <w:b/>
          <w:i/>
          <w:color w:val="000000" w:themeColor="text1"/>
        </w:rPr>
        <w:t>Embolie gazeuse :</w:t>
      </w:r>
      <w:r>
        <w:rPr>
          <w:color w:val="000000" w:themeColor="text1"/>
        </w:rPr>
        <w:t xml:space="preserve"> lié à l’introduction d’une quantité importante d’air dans les cavités cardiaques droite (signes : malaise, pâleur, cyanose, </w:t>
      </w:r>
      <w:proofErr w:type="spellStart"/>
      <w:r>
        <w:rPr>
          <w:color w:val="000000" w:themeColor="text1"/>
        </w:rPr>
        <w:t>hypoTA</w:t>
      </w:r>
      <w:proofErr w:type="spellEnd"/>
      <w:r>
        <w:rPr>
          <w:color w:val="000000" w:themeColor="text1"/>
        </w:rPr>
        <w:t>, toux sèche</w:t>
      </w:r>
      <w:r w:rsidR="00E5591E">
        <w:rPr>
          <w:color w:val="000000" w:themeColor="text1"/>
        </w:rPr>
        <w:t>)</w:t>
      </w:r>
    </w:p>
    <w:p w14:paraId="19C10C00" w14:textId="6B80DE16" w:rsidR="00E5591E" w:rsidRDefault="00E5591E" w:rsidP="00C164FF">
      <w:pPr>
        <w:pStyle w:val="Paragraphedeliste"/>
        <w:rPr>
          <w:b/>
          <w:i/>
          <w:color w:val="000000" w:themeColor="text1"/>
        </w:rPr>
      </w:pPr>
      <w:r>
        <w:rPr>
          <w:color w:val="000000" w:themeColor="text1"/>
        </w:rPr>
        <w:t xml:space="preserve">&gt; </w:t>
      </w:r>
      <w:r>
        <w:rPr>
          <w:b/>
          <w:i/>
          <w:color w:val="000000" w:themeColor="text1"/>
        </w:rPr>
        <w:t>Ulcération et nécroses cutanées</w:t>
      </w:r>
    </w:p>
    <w:p w14:paraId="6B660F35" w14:textId="7E79205D" w:rsidR="00D33B37" w:rsidRPr="00D33B37" w:rsidRDefault="00D33B37" w:rsidP="00C164FF">
      <w:pPr>
        <w:pStyle w:val="Paragraphedeliste"/>
        <w:rPr>
          <w:color w:val="000000" w:themeColor="text1"/>
        </w:rPr>
      </w:pPr>
      <w:r>
        <w:rPr>
          <w:b/>
          <w:i/>
          <w:color w:val="000000" w:themeColor="text1"/>
        </w:rPr>
        <w:t xml:space="preserve">&gt; </w:t>
      </w:r>
      <w:proofErr w:type="spellStart"/>
      <w:r>
        <w:rPr>
          <w:b/>
          <w:i/>
          <w:color w:val="000000" w:themeColor="text1"/>
        </w:rPr>
        <w:t>Pinch</w:t>
      </w:r>
      <w:proofErr w:type="spellEnd"/>
      <w:r>
        <w:rPr>
          <w:b/>
          <w:i/>
          <w:color w:val="000000" w:themeColor="text1"/>
        </w:rPr>
        <w:t xml:space="preserve"> off (</w:t>
      </w:r>
      <w:r>
        <w:rPr>
          <w:color w:val="000000" w:themeColor="text1"/>
        </w:rPr>
        <w:t>pincement entre la 1</w:t>
      </w:r>
      <w:r w:rsidRPr="00D33B37">
        <w:rPr>
          <w:color w:val="000000" w:themeColor="text1"/>
          <w:vertAlign w:val="superscript"/>
        </w:rPr>
        <w:t>ère</w:t>
      </w:r>
      <w:r>
        <w:rPr>
          <w:color w:val="000000" w:themeColor="text1"/>
        </w:rPr>
        <w:t xml:space="preserve"> côte  et de la </w:t>
      </w:r>
      <w:proofErr w:type="gramStart"/>
      <w:r>
        <w:rPr>
          <w:color w:val="000000" w:themeColor="text1"/>
        </w:rPr>
        <w:t>clavicule )</w:t>
      </w:r>
      <w:proofErr w:type="gramEnd"/>
    </w:p>
    <w:p w14:paraId="6AAD87D5" w14:textId="77777777" w:rsidR="009821EA" w:rsidRDefault="009821EA" w:rsidP="009821EA">
      <w:pPr>
        <w:pStyle w:val="Paragraphedeliste"/>
        <w:rPr>
          <w:b/>
          <w:color w:val="000000" w:themeColor="text1"/>
          <w:u w:val="single"/>
        </w:rPr>
      </w:pPr>
    </w:p>
    <w:p w14:paraId="3C24A1EB" w14:textId="77777777" w:rsidR="009821EA" w:rsidRPr="00D33B37" w:rsidRDefault="009821EA" w:rsidP="00D33B37">
      <w:pPr>
        <w:rPr>
          <w:b/>
          <w:color w:val="000000" w:themeColor="text1"/>
          <w:u w:val="single"/>
        </w:rPr>
      </w:pPr>
    </w:p>
    <w:p w14:paraId="646494E0" w14:textId="77777777" w:rsidR="009821EA" w:rsidRDefault="009821EA" w:rsidP="009821EA">
      <w:pPr>
        <w:pStyle w:val="Paragraphedeliste"/>
        <w:numPr>
          <w:ilvl w:val="0"/>
          <w:numId w:val="1"/>
        </w:num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 xml:space="preserve">Information, éducation </w:t>
      </w:r>
    </w:p>
    <w:p w14:paraId="0985720B" w14:textId="77777777" w:rsidR="00D33B37" w:rsidRDefault="00D33B37" w:rsidP="00D33B37">
      <w:pPr>
        <w:pStyle w:val="Paragraphedeliste"/>
        <w:rPr>
          <w:b/>
          <w:color w:val="000000" w:themeColor="text1"/>
          <w:u w:val="single"/>
        </w:rPr>
      </w:pPr>
    </w:p>
    <w:p w14:paraId="5F74BBE7" w14:textId="6F789B36" w:rsidR="00D33B37" w:rsidRPr="00D33B37" w:rsidRDefault="00D33B37" w:rsidP="00D33B37">
      <w:pPr>
        <w:pStyle w:val="Paragraphedeliste"/>
        <w:rPr>
          <w:color w:val="000000" w:themeColor="text1"/>
        </w:rPr>
      </w:pPr>
      <w:r>
        <w:rPr>
          <w:color w:val="000000" w:themeColor="text1"/>
        </w:rPr>
        <w:t>Remettre carnet de surveillance</w:t>
      </w:r>
      <w:bookmarkStart w:id="0" w:name="_GoBack"/>
      <w:bookmarkEnd w:id="0"/>
    </w:p>
    <w:sectPr w:rsidR="00D33B37" w:rsidRPr="00D33B37" w:rsidSect="00F45715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5B707B"/>
    <w:multiLevelType w:val="hybridMultilevel"/>
    <w:tmpl w:val="C0FC22A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9B1"/>
    <w:rsid w:val="00000C52"/>
    <w:rsid w:val="000C5C57"/>
    <w:rsid w:val="001709B1"/>
    <w:rsid w:val="002B0D20"/>
    <w:rsid w:val="00355398"/>
    <w:rsid w:val="00382F8A"/>
    <w:rsid w:val="003B57AE"/>
    <w:rsid w:val="003D14A8"/>
    <w:rsid w:val="004444D5"/>
    <w:rsid w:val="00465FEB"/>
    <w:rsid w:val="00687A78"/>
    <w:rsid w:val="006C7B8F"/>
    <w:rsid w:val="006F0E5A"/>
    <w:rsid w:val="0088531E"/>
    <w:rsid w:val="008E2946"/>
    <w:rsid w:val="00942C90"/>
    <w:rsid w:val="00961FE6"/>
    <w:rsid w:val="009821EA"/>
    <w:rsid w:val="00B1207A"/>
    <w:rsid w:val="00C164FF"/>
    <w:rsid w:val="00C66C5B"/>
    <w:rsid w:val="00CF5F05"/>
    <w:rsid w:val="00D33B37"/>
    <w:rsid w:val="00D92E46"/>
    <w:rsid w:val="00DA18BE"/>
    <w:rsid w:val="00E5591E"/>
    <w:rsid w:val="00F45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48AE38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821E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821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3</Pages>
  <Words>567</Words>
  <Characters>3120</Characters>
  <Application>Microsoft Macintosh Word</Application>
  <DocSecurity>0</DocSecurity>
  <Lines>26</Lines>
  <Paragraphs>7</Paragraphs>
  <ScaleCrop>false</ScaleCrop>
  <Company/>
  <LinksUpToDate>false</LinksUpToDate>
  <CharactersWithSpaces>3680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Imane bounday</dc:creator>
  <cp:keywords/>
  <dc:description/>
  <cp:lastModifiedBy>Imane bounday</cp:lastModifiedBy>
  <cp:revision>14</cp:revision>
  <dcterms:created xsi:type="dcterms:W3CDTF">2016-01-14T08:03:00Z</dcterms:created>
  <dcterms:modified xsi:type="dcterms:W3CDTF">2016-01-27T21:10:00Z</dcterms:modified>
</cp:coreProperties>
</file>